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
        <w:rPr>
          <w:rFonts w:ascii="Times New Roman"/>
          <w:sz w:val="2"/>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036"/>
        <w:gridCol w:w="3080"/>
      </w:tblGrid>
      <w:tr>
        <w:trPr>
          <w:trHeight w:val="1234" w:hRule="atLeast"/>
        </w:trPr>
        <w:tc>
          <w:tcPr>
            <w:tcW w:w="9116" w:type="dxa"/>
            <w:gridSpan w:val="2"/>
          </w:tcPr>
          <w:p>
            <w:pPr>
              <w:pStyle w:val="TableParagraph"/>
              <w:ind w:left="0"/>
              <w:rPr>
                <w:rFonts w:ascii="Times New Roman"/>
                <w:sz w:val="4"/>
              </w:rPr>
            </w:pPr>
          </w:p>
          <w:p>
            <w:pPr>
              <w:pStyle w:val="TableParagraph"/>
              <w:ind w:left="1601"/>
              <w:rPr>
                <w:rFonts w:ascii="Times New Roman"/>
                <w:sz w:val="20"/>
              </w:rPr>
            </w:pPr>
            <w:r>
              <w:rPr>
                <w:rFonts w:ascii="Times New Roman"/>
                <w:sz w:val="20"/>
              </w:rPr>
              <w:drawing>
                <wp:inline distT="0" distB="0" distL="0" distR="0">
                  <wp:extent cx="3716818" cy="603503"/>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716818" cy="603503"/>
                          </a:xfrm>
                          <a:prstGeom prst="rect">
                            <a:avLst/>
                          </a:prstGeom>
                        </pic:spPr>
                      </pic:pic>
                    </a:graphicData>
                  </a:graphic>
                </wp:inline>
              </w:drawing>
            </w:r>
            <w:r>
              <w:rPr>
                <w:rFonts w:ascii="Times New Roman"/>
                <w:sz w:val="20"/>
              </w:rPr>
            </w:r>
          </w:p>
        </w:tc>
      </w:tr>
      <w:tr>
        <w:trPr>
          <w:trHeight w:val="512" w:hRule="atLeast"/>
        </w:trPr>
        <w:tc>
          <w:tcPr>
            <w:tcW w:w="9116" w:type="dxa"/>
            <w:gridSpan w:val="2"/>
          </w:tcPr>
          <w:p>
            <w:pPr>
              <w:pStyle w:val="TableParagraph"/>
              <w:spacing w:before="83"/>
              <w:rPr>
                <w:b/>
                <w:sz w:val="28"/>
              </w:rPr>
            </w:pPr>
            <w:r>
              <w:rPr>
                <w:b/>
                <w:sz w:val="28"/>
              </w:rPr>
              <w:t>VKGL </w:t>
            </w:r>
            <w:r>
              <w:rPr>
                <w:b/>
                <w:spacing w:val="-2"/>
                <w:sz w:val="28"/>
              </w:rPr>
              <w:t>kwaliteitscommissie_Formulier</w:t>
            </w:r>
          </w:p>
        </w:tc>
      </w:tr>
      <w:tr>
        <w:trPr>
          <w:trHeight w:val="877" w:hRule="atLeast"/>
        </w:trPr>
        <w:tc>
          <w:tcPr>
            <w:tcW w:w="6036" w:type="dxa"/>
          </w:tcPr>
          <w:p>
            <w:pPr>
              <w:pStyle w:val="TableParagraph"/>
              <w:spacing w:before="141"/>
              <w:ind w:left="41"/>
              <w:rPr>
                <w:sz w:val="24"/>
              </w:rPr>
            </w:pPr>
            <w:r>
              <w:rPr>
                <w:b/>
                <w:sz w:val="24"/>
              </w:rPr>
              <w:t>Titel:</w:t>
            </w:r>
            <w:r>
              <w:rPr>
                <w:b/>
                <w:spacing w:val="-5"/>
                <w:sz w:val="24"/>
              </w:rPr>
              <w:t> </w:t>
            </w:r>
            <w:r>
              <w:rPr>
                <w:sz w:val="24"/>
              </w:rPr>
              <w:t>Sjabloon</w:t>
            </w:r>
            <w:r>
              <w:rPr>
                <w:spacing w:val="-5"/>
                <w:sz w:val="24"/>
              </w:rPr>
              <w:t> </w:t>
            </w:r>
            <w:r>
              <w:rPr>
                <w:sz w:val="24"/>
              </w:rPr>
              <w:t>Labprotocol</w:t>
            </w:r>
            <w:r>
              <w:rPr>
                <w:spacing w:val="-5"/>
                <w:sz w:val="24"/>
              </w:rPr>
              <w:t> </w:t>
            </w:r>
            <w:r>
              <w:rPr>
                <w:spacing w:val="-2"/>
                <w:sz w:val="24"/>
              </w:rPr>
              <w:t>Nevenbevindingen</w:t>
            </w:r>
          </w:p>
        </w:tc>
        <w:tc>
          <w:tcPr>
            <w:tcW w:w="3080" w:type="dxa"/>
          </w:tcPr>
          <w:p>
            <w:pPr>
              <w:pStyle w:val="TableParagraph"/>
              <w:spacing w:before="158"/>
              <w:ind w:left="0"/>
              <w:rPr>
                <w:rFonts w:ascii="Times New Roman"/>
                <w:sz w:val="24"/>
              </w:rPr>
            </w:pPr>
          </w:p>
          <w:p>
            <w:pPr>
              <w:pStyle w:val="TableParagraph"/>
              <w:ind w:left="242"/>
              <w:rPr>
                <w:sz w:val="24"/>
              </w:rPr>
            </w:pPr>
            <w:r>
              <w:rPr>
                <w:b/>
                <w:sz w:val="24"/>
              </w:rPr>
              <w:t>Doc.</w:t>
            </w:r>
            <w:r>
              <w:rPr>
                <w:b/>
                <w:spacing w:val="-2"/>
                <w:sz w:val="24"/>
              </w:rPr>
              <w:t> </w:t>
            </w:r>
            <w:r>
              <w:rPr>
                <w:b/>
                <w:sz w:val="24"/>
              </w:rPr>
              <w:t>code:</w:t>
            </w:r>
            <w:r>
              <w:rPr>
                <w:b/>
                <w:spacing w:val="-2"/>
                <w:sz w:val="24"/>
              </w:rPr>
              <w:t> </w:t>
            </w:r>
            <w:r>
              <w:rPr>
                <w:spacing w:val="-2"/>
                <w:sz w:val="24"/>
              </w:rPr>
              <w:t>VKGL_F01</w:t>
            </w:r>
          </w:p>
        </w:tc>
      </w:tr>
      <w:tr>
        <w:trPr>
          <w:trHeight w:val="533" w:hRule="atLeast"/>
        </w:trPr>
        <w:tc>
          <w:tcPr>
            <w:tcW w:w="6036" w:type="dxa"/>
            <w:tcBorders>
              <w:bottom w:val="nil"/>
            </w:tcBorders>
          </w:tcPr>
          <w:p>
            <w:pPr>
              <w:pStyle w:val="TableParagraph"/>
              <w:spacing w:before="127"/>
              <w:rPr>
                <w:b/>
                <w:sz w:val="24"/>
              </w:rPr>
            </w:pPr>
            <w:r>
              <w:rPr>
                <w:b/>
                <w:sz w:val="24"/>
              </w:rPr>
              <w:t>Subspecialisme:</w:t>
            </w:r>
            <w:r>
              <w:rPr>
                <w:b/>
                <w:spacing w:val="-6"/>
                <w:sz w:val="24"/>
              </w:rPr>
              <w:t> </w:t>
            </w:r>
            <w:r>
              <w:rPr>
                <w:b/>
                <w:spacing w:val="-2"/>
                <w:sz w:val="24"/>
              </w:rPr>
              <w:t>Genoomdiagnostiek</w:t>
            </w:r>
          </w:p>
        </w:tc>
        <w:tc>
          <w:tcPr>
            <w:tcW w:w="3080" w:type="dxa"/>
            <w:tcBorders>
              <w:bottom w:val="nil"/>
            </w:tcBorders>
          </w:tcPr>
          <w:p>
            <w:pPr>
              <w:pStyle w:val="TableParagraph"/>
              <w:spacing w:before="127"/>
              <w:ind w:left="242"/>
              <w:rPr>
                <w:sz w:val="24"/>
              </w:rPr>
            </w:pPr>
            <w:r>
              <w:rPr>
                <w:b/>
                <w:sz w:val="24"/>
              </w:rPr>
              <w:t>Versie:</w:t>
            </w:r>
            <w:r>
              <w:rPr>
                <w:b/>
                <w:spacing w:val="-1"/>
                <w:sz w:val="24"/>
              </w:rPr>
              <w:t> </w:t>
            </w:r>
            <w:r>
              <w:rPr>
                <w:spacing w:val="-5"/>
                <w:sz w:val="24"/>
              </w:rPr>
              <w:t>02</w:t>
            </w:r>
          </w:p>
        </w:tc>
      </w:tr>
      <w:tr>
        <w:trPr>
          <w:trHeight w:val="578" w:hRule="atLeast"/>
        </w:trPr>
        <w:tc>
          <w:tcPr>
            <w:tcW w:w="9116" w:type="dxa"/>
            <w:gridSpan w:val="2"/>
            <w:tcBorders>
              <w:top w:val="nil"/>
            </w:tcBorders>
          </w:tcPr>
          <w:p>
            <w:pPr>
              <w:pStyle w:val="TableParagraph"/>
              <w:spacing w:line="180" w:lineRule="exact"/>
              <w:ind w:left="0" w:right="162"/>
              <w:jc w:val="right"/>
              <w:rPr>
                <w:sz w:val="24"/>
              </w:rPr>
            </w:pPr>
            <w:r>
              <w:rPr>
                <w:b/>
                <w:sz w:val="24"/>
              </w:rPr>
              <w:t>Ingangsdatum:</w:t>
            </w:r>
            <w:r>
              <w:rPr>
                <w:b/>
                <w:spacing w:val="-4"/>
                <w:sz w:val="24"/>
              </w:rPr>
              <w:t> </w:t>
            </w:r>
            <w:r>
              <w:rPr>
                <w:sz w:val="24"/>
              </w:rPr>
              <w:t>01-01-</w:t>
            </w:r>
            <w:r>
              <w:rPr>
                <w:spacing w:val="-4"/>
                <w:sz w:val="24"/>
              </w:rPr>
              <w:t>2025</w:t>
            </w:r>
          </w:p>
        </w:tc>
      </w:tr>
      <w:tr>
        <w:trPr>
          <w:trHeight w:val="1908" w:hRule="atLeast"/>
        </w:trPr>
        <w:tc>
          <w:tcPr>
            <w:tcW w:w="9116" w:type="dxa"/>
            <w:gridSpan w:val="2"/>
          </w:tcPr>
          <w:p>
            <w:pPr>
              <w:pStyle w:val="TableParagraph"/>
              <w:spacing w:before="172"/>
              <w:rPr>
                <w:sz w:val="24"/>
              </w:rPr>
            </w:pPr>
            <w:r>
              <w:rPr>
                <w:b/>
                <w:sz w:val="24"/>
              </w:rPr>
              <w:t>Beheerder:</w:t>
            </w:r>
            <w:r>
              <w:rPr>
                <w:b/>
                <w:spacing w:val="-4"/>
                <w:sz w:val="24"/>
              </w:rPr>
              <w:t> </w:t>
            </w:r>
            <w:r>
              <w:rPr>
                <w:sz w:val="24"/>
              </w:rPr>
              <w:t>VKGL</w:t>
            </w:r>
            <w:r>
              <w:rPr>
                <w:spacing w:val="-3"/>
                <w:sz w:val="24"/>
              </w:rPr>
              <w:t> </w:t>
            </w:r>
            <w:r>
              <w:rPr>
                <w:spacing w:val="-2"/>
                <w:sz w:val="24"/>
              </w:rPr>
              <w:t>kwaliteitscommissie</w:t>
            </w:r>
          </w:p>
          <w:p>
            <w:pPr>
              <w:pStyle w:val="TableParagraph"/>
              <w:rPr>
                <w:sz w:val="24"/>
              </w:rPr>
            </w:pPr>
            <w:r>
              <w:rPr>
                <w:b/>
                <w:sz w:val="24"/>
              </w:rPr>
              <w:t>Centrum:</w:t>
            </w:r>
            <w:r>
              <w:rPr>
                <w:b/>
                <w:spacing w:val="-6"/>
                <w:sz w:val="24"/>
              </w:rPr>
              <w:t> </w:t>
            </w:r>
            <w:r>
              <w:rPr>
                <w:sz w:val="24"/>
              </w:rPr>
              <w:t>Radboudumc</w:t>
            </w:r>
            <w:r>
              <w:rPr>
                <w:spacing w:val="-5"/>
                <w:sz w:val="24"/>
              </w:rPr>
              <w:t> </w:t>
            </w:r>
            <w:r>
              <w:rPr>
                <w:spacing w:val="-2"/>
                <w:sz w:val="24"/>
              </w:rPr>
              <w:t>Nijmegen</w:t>
            </w:r>
          </w:p>
          <w:p>
            <w:pPr>
              <w:pStyle w:val="TableParagraph"/>
              <w:spacing w:line="290" w:lineRule="atLeast" w:before="253"/>
              <w:rPr>
                <w:sz w:val="24"/>
              </w:rPr>
            </w:pPr>
            <w:r>
              <w:rPr>
                <w:b/>
                <w:sz w:val="24"/>
              </w:rPr>
              <w:t>Auteurs: </w:t>
            </w:r>
            <w:r>
              <w:rPr>
                <w:sz w:val="24"/>
              </w:rPr>
              <w:t>Werkgroep nevenbevindingen (Ellen van Binsbergen, Hennie Brüggenwirth, Brigitte</w:t>
            </w:r>
            <w:r>
              <w:rPr>
                <w:spacing w:val="-4"/>
                <w:sz w:val="24"/>
              </w:rPr>
              <w:t> </w:t>
            </w:r>
            <w:r>
              <w:rPr>
                <w:sz w:val="24"/>
              </w:rPr>
              <w:t>Faas,</w:t>
            </w:r>
            <w:r>
              <w:rPr>
                <w:spacing w:val="-4"/>
                <w:sz w:val="24"/>
              </w:rPr>
              <w:t> </w:t>
            </w:r>
            <w:r>
              <w:rPr>
                <w:sz w:val="24"/>
              </w:rPr>
              <w:t>Monique</w:t>
            </w:r>
            <w:r>
              <w:rPr>
                <w:spacing w:val="-4"/>
                <w:sz w:val="24"/>
              </w:rPr>
              <w:t> </w:t>
            </w:r>
            <w:r>
              <w:rPr>
                <w:sz w:val="24"/>
              </w:rPr>
              <w:t>Gerrits,</w:t>
            </w:r>
            <w:r>
              <w:rPr>
                <w:spacing w:val="-5"/>
                <w:sz w:val="24"/>
              </w:rPr>
              <w:t> </w:t>
            </w:r>
            <w:r>
              <w:rPr>
                <w:sz w:val="24"/>
              </w:rPr>
              <w:t>Frans</w:t>
            </w:r>
            <w:r>
              <w:rPr>
                <w:spacing w:val="-5"/>
                <w:sz w:val="24"/>
              </w:rPr>
              <w:t> </w:t>
            </w:r>
            <w:r>
              <w:rPr>
                <w:sz w:val="24"/>
              </w:rPr>
              <w:t>Hogervorst,</w:t>
            </w:r>
            <w:r>
              <w:rPr>
                <w:spacing w:val="-4"/>
                <w:sz w:val="24"/>
              </w:rPr>
              <w:t> </w:t>
            </w:r>
            <w:r>
              <w:rPr>
                <w:sz w:val="24"/>
              </w:rPr>
              <w:t>Abeltje</w:t>
            </w:r>
            <w:r>
              <w:rPr>
                <w:spacing w:val="-4"/>
                <w:sz w:val="24"/>
              </w:rPr>
              <w:t> </w:t>
            </w:r>
            <w:r>
              <w:rPr>
                <w:sz w:val="24"/>
              </w:rPr>
              <w:t>Polstra,</w:t>
            </w:r>
            <w:r>
              <w:rPr>
                <w:spacing w:val="-5"/>
                <w:sz w:val="24"/>
              </w:rPr>
              <w:t> </w:t>
            </w:r>
            <w:r>
              <w:rPr>
                <w:sz w:val="24"/>
              </w:rPr>
              <w:t>Birgit</w:t>
            </w:r>
            <w:r>
              <w:rPr>
                <w:spacing w:val="-4"/>
                <w:sz w:val="24"/>
              </w:rPr>
              <w:t> </w:t>
            </w:r>
            <w:r>
              <w:rPr>
                <w:sz w:val="24"/>
              </w:rPr>
              <w:t>Raddatz,</w:t>
            </w:r>
            <w:r>
              <w:rPr>
                <w:spacing w:val="-4"/>
                <w:sz w:val="24"/>
              </w:rPr>
              <w:t> </w:t>
            </w:r>
            <w:r>
              <w:rPr>
                <w:sz w:val="24"/>
              </w:rPr>
              <w:t>Claudia Ruivenkamp, Gosia Srebniak, Quinten Waisfisz en Helger IJntema)</w:t>
            </w:r>
          </w:p>
        </w:tc>
      </w:tr>
    </w:tbl>
    <w:p>
      <w:pPr>
        <w:pStyle w:val="BodyText"/>
        <w:spacing w:before="4"/>
        <w:rPr>
          <w:rFonts w:ascii="Times New Roman"/>
          <w:sz w:val="14"/>
        </w:rPr>
      </w:pPr>
      <w:r>
        <w:rPr/>
        <mc:AlternateContent>
          <mc:Choice Requires="wps">
            <w:drawing>
              <wp:anchor distT="0" distB="0" distL="0" distR="0" allowOverlap="1" layoutInCell="1" locked="0" behindDoc="1" simplePos="0" relativeHeight="487587840">
                <wp:simplePos x="0" y="0"/>
                <wp:positionH relativeFrom="page">
                  <wp:posOffset>893444</wp:posOffset>
                </wp:positionH>
                <wp:positionV relativeFrom="paragraph">
                  <wp:posOffset>120130</wp:posOffset>
                </wp:positionV>
                <wp:extent cx="578866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88660" cy="1270"/>
                        </a:xfrm>
                        <a:custGeom>
                          <a:avLst/>
                          <a:gdLst/>
                          <a:ahLst/>
                          <a:cxnLst/>
                          <a:rect l="l" t="t" r="r" b="b"/>
                          <a:pathLst>
                            <a:path w="5788660" h="0">
                              <a:moveTo>
                                <a:pt x="0" y="0"/>
                              </a:moveTo>
                              <a:lnTo>
                                <a:pt x="578866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349998pt;margin-top:9.45907pt;width:455.8pt;height:.1pt;mso-position-horizontal-relative:page;mso-position-vertical-relative:paragraph;z-index:-15728640;mso-wrap-distance-left:0;mso-wrap-distance-right:0" id="docshape2" coordorigin="1407,189" coordsize="9116,0" path="m1407,189l10523,189e" filled="false" stroked="true" strokeweight=".75pt" strokecolor="#000000">
                <v:path arrowok="t"/>
                <v:stroke dashstyle="solid"/>
                <w10:wrap type="topAndBottom"/>
              </v:shape>
            </w:pict>
          </mc:Fallback>
        </mc:AlternateContent>
      </w:r>
    </w:p>
    <w:p>
      <w:pPr>
        <w:pStyle w:val="Title"/>
      </w:pPr>
      <w:bookmarkStart w:name="Dit lokale protocol is gebaseerd op het " w:id="1"/>
      <w:bookmarkEnd w:id="1"/>
      <w:r>
        <w:rPr>
          <w:b w:val="0"/>
        </w:rPr>
      </w:r>
      <w:r>
        <w:rPr/>
        <w:t>Dit</w:t>
      </w:r>
      <w:r>
        <w:rPr>
          <w:spacing w:val="-4"/>
        </w:rPr>
        <w:t> </w:t>
      </w:r>
      <w:r>
        <w:rPr/>
        <w:t>lokale</w:t>
      </w:r>
      <w:r>
        <w:rPr>
          <w:spacing w:val="-4"/>
        </w:rPr>
        <w:t> </w:t>
      </w:r>
      <w:r>
        <w:rPr/>
        <w:t>protocol</w:t>
      </w:r>
      <w:r>
        <w:rPr>
          <w:spacing w:val="-5"/>
        </w:rPr>
        <w:t> </w:t>
      </w:r>
      <w:r>
        <w:rPr/>
        <w:t>is</w:t>
      </w:r>
      <w:r>
        <w:rPr>
          <w:spacing w:val="-4"/>
        </w:rPr>
        <w:t> </w:t>
      </w:r>
      <w:r>
        <w:rPr/>
        <w:t>gebaseerd</w:t>
      </w:r>
      <w:r>
        <w:rPr>
          <w:spacing w:val="-4"/>
        </w:rPr>
        <w:t> </w:t>
      </w:r>
      <w:r>
        <w:rPr/>
        <w:t>op</w:t>
      </w:r>
      <w:r>
        <w:rPr>
          <w:spacing w:val="-4"/>
        </w:rPr>
        <w:t> </w:t>
      </w:r>
      <w:r>
        <w:rPr/>
        <w:t>het</w:t>
      </w:r>
      <w:r>
        <w:rPr>
          <w:spacing w:val="-4"/>
        </w:rPr>
        <w:t> </w:t>
      </w:r>
      <w:r>
        <w:rPr/>
        <w:t>landelijke</w:t>
      </w:r>
      <w:r>
        <w:rPr>
          <w:spacing w:val="-4"/>
        </w:rPr>
        <w:t> </w:t>
      </w:r>
      <w:r>
        <w:rPr/>
        <w:t>sjabloon</w:t>
      </w:r>
      <w:r>
        <w:rPr>
          <w:spacing w:val="-4"/>
        </w:rPr>
        <w:t> </w:t>
      </w:r>
      <w:r>
        <w:rPr/>
        <w:t>Labprotocol</w:t>
      </w:r>
      <w:r>
        <w:rPr>
          <w:spacing w:val="-4"/>
        </w:rPr>
        <w:t> </w:t>
      </w:r>
      <w:r>
        <w:rPr/>
        <w:t>Nevenbevindingen </w:t>
      </w:r>
      <w:r>
        <w:rPr>
          <w:spacing w:val="-2"/>
        </w:rPr>
        <w:t>[</w:t>
      </w:r>
      <w:r>
        <w:rPr>
          <w:color w:val="000000"/>
          <w:spacing w:val="-2"/>
          <w:highlight w:val="yellow"/>
        </w:rPr>
        <w:t>hyperlink</w:t>
      </w:r>
      <w:r>
        <w:rPr>
          <w:color w:val="000000"/>
          <w:spacing w:val="-2"/>
        </w:rPr>
        <w:t>]</w:t>
      </w:r>
    </w:p>
    <w:p>
      <w:pPr>
        <w:pStyle w:val="BodyText"/>
        <w:spacing w:before="82"/>
        <w:rPr>
          <w:b/>
        </w:rPr>
      </w:pPr>
    </w:p>
    <w:p>
      <w:pPr>
        <w:pStyle w:val="Heading1"/>
        <w:spacing w:before="1"/>
        <w:rPr>
          <w:i/>
        </w:rPr>
      </w:pPr>
      <w:bookmarkStart w:name="Algemeen" w:id="2"/>
      <w:bookmarkEnd w:id="2"/>
      <w:r>
        <w:rPr>
          <w:b w:val="0"/>
          <w:i w:val="0"/>
        </w:rPr>
      </w:r>
      <w:r>
        <w:rPr>
          <w:i/>
          <w:spacing w:val="-2"/>
        </w:rPr>
        <w:t>Algemeen</w:t>
      </w:r>
    </w:p>
    <w:p>
      <w:pPr>
        <w:pStyle w:val="BodyText"/>
        <w:ind w:left="158" w:right="262"/>
      </w:pPr>
      <w:r>
        <w:rPr/>
        <w:t>Bij</w:t>
      </w:r>
      <w:r>
        <w:rPr>
          <w:spacing w:val="-1"/>
        </w:rPr>
        <w:t> </w:t>
      </w:r>
      <w:r>
        <w:rPr/>
        <w:t>de</w:t>
      </w:r>
      <w:r>
        <w:rPr>
          <w:spacing w:val="-1"/>
        </w:rPr>
        <w:t> </w:t>
      </w:r>
      <w:r>
        <w:rPr/>
        <w:t>analyse</w:t>
      </w:r>
      <w:r>
        <w:rPr>
          <w:spacing w:val="-1"/>
        </w:rPr>
        <w:t> </w:t>
      </w:r>
      <w:r>
        <w:rPr/>
        <w:t>van</w:t>
      </w:r>
      <w:r>
        <w:rPr>
          <w:spacing w:val="-2"/>
        </w:rPr>
        <w:t> </w:t>
      </w:r>
      <w:r>
        <w:rPr/>
        <w:t>genetische</w:t>
      </w:r>
      <w:r>
        <w:rPr>
          <w:spacing w:val="-1"/>
        </w:rPr>
        <w:t> </w:t>
      </w:r>
      <w:r>
        <w:rPr/>
        <w:t>data</w:t>
      </w:r>
      <w:r>
        <w:rPr>
          <w:spacing w:val="-2"/>
        </w:rPr>
        <w:t> </w:t>
      </w:r>
      <w:r>
        <w:rPr/>
        <w:t>bestaat</w:t>
      </w:r>
      <w:r>
        <w:rPr>
          <w:spacing w:val="-1"/>
        </w:rPr>
        <w:t> </w:t>
      </w:r>
      <w:r>
        <w:rPr/>
        <w:t>de</w:t>
      </w:r>
      <w:r>
        <w:rPr>
          <w:spacing w:val="-2"/>
        </w:rPr>
        <w:t> </w:t>
      </w:r>
      <w:r>
        <w:rPr/>
        <w:t>kans</w:t>
      </w:r>
      <w:r>
        <w:rPr>
          <w:spacing w:val="-1"/>
        </w:rPr>
        <w:t> </w:t>
      </w:r>
      <w:r>
        <w:rPr/>
        <w:t>dat</w:t>
      </w:r>
      <w:r>
        <w:rPr>
          <w:spacing w:val="-1"/>
        </w:rPr>
        <w:t> </w:t>
      </w:r>
      <w:r>
        <w:rPr/>
        <w:t>een</w:t>
      </w:r>
      <w:r>
        <w:rPr>
          <w:spacing w:val="-1"/>
        </w:rPr>
        <w:t> </w:t>
      </w:r>
      <w:r>
        <w:rPr/>
        <w:t>(waarschijnlijk)</w:t>
      </w:r>
      <w:r>
        <w:rPr>
          <w:spacing w:val="-2"/>
        </w:rPr>
        <w:t> </w:t>
      </w:r>
      <w:r>
        <w:rPr/>
        <w:t>pathogene</w:t>
      </w:r>
      <w:r>
        <w:rPr>
          <w:spacing w:val="-2"/>
        </w:rPr>
        <w:t> </w:t>
      </w:r>
      <w:r>
        <w:rPr/>
        <w:t>variant</w:t>
      </w:r>
      <w:r>
        <w:rPr>
          <w:spacing w:val="-1"/>
        </w:rPr>
        <w:t> </w:t>
      </w:r>
      <w:r>
        <w:rPr/>
        <w:t>wordt gevonden die niet gerelateerd is aan de klinische vraagstelling. In dit geval spreekt men van een nevenbevinding.</w:t>
      </w:r>
      <w:r>
        <w:rPr>
          <w:spacing w:val="-3"/>
        </w:rPr>
        <w:t> </w:t>
      </w:r>
      <w:r>
        <w:rPr/>
        <w:t>Het</w:t>
      </w:r>
      <w:r>
        <w:rPr>
          <w:spacing w:val="-3"/>
        </w:rPr>
        <w:t> </w:t>
      </w:r>
      <w:r>
        <w:rPr/>
        <w:t>is</w:t>
      </w:r>
      <w:r>
        <w:rPr>
          <w:spacing w:val="-4"/>
        </w:rPr>
        <w:t> </w:t>
      </w:r>
      <w:r>
        <w:rPr/>
        <w:t>de</w:t>
      </w:r>
      <w:r>
        <w:rPr>
          <w:spacing w:val="-3"/>
        </w:rPr>
        <w:t> </w:t>
      </w:r>
      <w:r>
        <w:rPr/>
        <w:t>verantwoordelijkheid</w:t>
      </w:r>
      <w:r>
        <w:rPr>
          <w:spacing w:val="-4"/>
        </w:rPr>
        <w:t> </w:t>
      </w:r>
      <w:r>
        <w:rPr/>
        <w:t>van</w:t>
      </w:r>
      <w:r>
        <w:rPr>
          <w:spacing w:val="-4"/>
        </w:rPr>
        <w:t> </w:t>
      </w:r>
      <w:r>
        <w:rPr/>
        <w:t>de</w:t>
      </w:r>
      <w:r>
        <w:rPr>
          <w:spacing w:val="-4"/>
        </w:rPr>
        <w:t> </w:t>
      </w:r>
      <w:r>
        <w:rPr/>
        <w:t>aanvrager</w:t>
      </w:r>
      <w:r>
        <w:rPr>
          <w:spacing w:val="-3"/>
        </w:rPr>
        <w:t> </w:t>
      </w:r>
      <w:r>
        <w:rPr/>
        <w:t>om</w:t>
      </w:r>
      <w:r>
        <w:rPr>
          <w:spacing w:val="-3"/>
        </w:rPr>
        <w:t> </w:t>
      </w:r>
      <w:r>
        <w:rPr/>
        <w:t>de</w:t>
      </w:r>
      <w:r>
        <w:rPr>
          <w:spacing w:val="-3"/>
        </w:rPr>
        <w:t> </w:t>
      </w:r>
      <w:r>
        <w:rPr/>
        <w:t>kans</w:t>
      </w:r>
      <w:r>
        <w:rPr>
          <w:spacing w:val="-4"/>
        </w:rPr>
        <w:t> </w:t>
      </w:r>
      <w:r>
        <w:rPr/>
        <w:t>op</w:t>
      </w:r>
      <w:r>
        <w:rPr>
          <w:spacing w:val="-4"/>
        </w:rPr>
        <w:t> </w:t>
      </w:r>
      <w:r>
        <w:rPr/>
        <w:t>nevenbevindingen en het beleid rondom het melden van nevenbevindingen te bespreken met de patiënt. Het is de verantwoordelijkheid van het laboratorium om de aanvragers op dit beleid te wijzen via het aanvraagformulier. Zie ook de informatie voor verwijzers op de website van de VKGN (</w:t>
      </w:r>
      <w:hyperlink r:id="rId7">
        <w:r>
          <w:rPr>
            <w:color w:val="0000FF"/>
            <w:u w:val="single" w:color="0000FF"/>
          </w:rPr>
          <w:t>https://artsengenetica.nl/genetische-testen</w:t>
        </w:r>
      </w:hyperlink>
      <w:r>
        <w:rPr>
          <w:u w:val="none"/>
        </w:rPr>
        <w:t>) en het landelijke beleid voor het melden van nevenbevindingen (</w:t>
      </w:r>
      <w:hyperlink r:id="rId8">
        <w:r>
          <w:rPr>
            <w:color w:val="0000FF"/>
            <w:u w:val="single" w:color="0000FF"/>
          </w:rPr>
          <w:t>Leidraad_Nevenbevindingen_v3.0.docx.pdf</w:t>
        </w:r>
      </w:hyperlink>
      <w:r>
        <w:rPr>
          <w:u w:val="none"/>
        </w:rPr>
        <w:t>)</w:t>
      </w:r>
    </w:p>
    <w:p>
      <w:pPr>
        <w:pStyle w:val="BodyText"/>
        <w:spacing w:before="207"/>
      </w:pPr>
    </w:p>
    <w:p>
      <w:pPr>
        <w:pStyle w:val="Heading1"/>
        <w:rPr>
          <w:i/>
        </w:rPr>
      </w:pPr>
      <w:r>
        <w:rPr>
          <w:i/>
          <w:spacing w:val="-2"/>
        </w:rPr>
        <w:t>Procedure</w:t>
      </w:r>
    </w:p>
    <w:p>
      <w:pPr>
        <w:pStyle w:val="BodyText"/>
        <w:ind w:left="158" w:right="176"/>
      </w:pPr>
      <w:r>
        <w:rPr/>
        <w:t>De verwerking van nevenbevindingen in het laboratorium is niet anders dan voor bevindingen die wel gerelateerd zijn aan de initiële hulpvraag (m.b.t. bevestiging met een onafhankelijke test, en vastlegging in de laboratorium informatiesystemen). Het is de verantwoordelijkheid van de betrokken</w:t>
      </w:r>
      <w:r>
        <w:rPr>
          <w:spacing w:val="-4"/>
        </w:rPr>
        <w:t> </w:t>
      </w:r>
      <w:r>
        <w:rPr/>
        <w:t>LSKG</w:t>
      </w:r>
      <w:r>
        <w:rPr>
          <w:spacing w:val="-4"/>
        </w:rPr>
        <w:t> </w:t>
      </w:r>
      <w:r>
        <w:rPr/>
        <w:t>om</w:t>
      </w:r>
      <w:r>
        <w:rPr>
          <w:spacing w:val="-3"/>
        </w:rPr>
        <w:t> </w:t>
      </w:r>
      <w:r>
        <w:rPr/>
        <w:t>de</w:t>
      </w:r>
      <w:r>
        <w:rPr>
          <w:spacing w:val="-3"/>
        </w:rPr>
        <w:t> </w:t>
      </w:r>
      <w:r>
        <w:rPr/>
        <w:t>(potentiële)</w:t>
      </w:r>
      <w:r>
        <w:rPr>
          <w:spacing w:val="-4"/>
        </w:rPr>
        <w:t> </w:t>
      </w:r>
      <w:r>
        <w:rPr/>
        <w:t>nevenbevinding</w:t>
      </w:r>
      <w:r>
        <w:rPr>
          <w:spacing w:val="-3"/>
        </w:rPr>
        <w:t> </w:t>
      </w:r>
      <w:r>
        <w:rPr/>
        <w:t>te</w:t>
      </w:r>
      <w:r>
        <w:rPr>
          <w:spacing w:val="-3"/>
        </w:rPr>
        <w:t> </w:t>
      </w:r>
      <w:r>
        <w:rPr/>
        <w:t>bespreken</w:t>
      </w:r>
      <w:r>
        <w:rPr>
          <w:spacing w:val="-4"/>
        </w:rPr>
        <w:t> </w:t>
      </w:r>
      <w:r>
        <w:rPr/>
        <w:t>in</w:t>
      </w:r>
      <w:r>
        <w:rPr>
          <w:spacing w:val="-4"/>
        </w:rPr>
        <w:t> </w:t>
      </w:r>
      <w:r>
        <w:rPr>
          <w:color w:val="000000"/>
          <w:highlight w:val="yellow"/>
        </w:rPr>
        <w:t>[lokaal</w:t>
      </w:r>
      <w:r>
        <w:rPr>
          <w:color w:val="000000"/>
          <w:spacing w:val="-3"/>
          <w:highlight w:val="yellow"/>
        </w:rPr>
        <w:t> </w:t>
      </w:r>
      <w:r>
        <w:rPr>
          <w:color w:val="000000"/>
          <w:highlight w:val="yellow"/>
        </w:rPr>
        <w:t>invullen</w:t>
      </w:r>
      <w:r>
        <w:rPr>
          <w:color w:val="000000"/>
        </w:rPr>
        <w:t>].</w:t>
      </w:r>
      <w:r>
        <w:rPr>
          <w:color w:val="000000"/>
          <w:spacing w:val="-3"/>
        </w:rPr>
        <w:t> </w:t>
      </w:r>
      <w:r>
        <w:rPr>
          <w:color w:val="000000"/>
        </w:rPr>
        <w:t>Het</w:t>
      </w:r>
      <w:r>
        <w:rPr>
          <w:color w:val="000000"/>
          <w:spacing w:val="-3"/>
        </w:rPr>
        <w:t> </w:t>
      </w:r>
      <w:r>
        <w:rPr>
          <w:color w:val="000000"/>
        </w:rPr>
        <w:t>is</w:t>
      </w:r>
      <w:r>
        <w:rPr>
          <w:color w:val="000000"/>
          <w:spacing w:val="-4"/>
        </w:rPr>
        <w:t> </w:t>
      </w:r>
      <w:r>
        <w:rPr>
          <w:color w:val="000000"/>
        </w:rPr>
        <w:t>wenselijk om de betrokken aanvrager en LSKG bij de vergadering te betrekken. Voor de verslaglegging van de bespreking in de commissie wordt gebruik gemaakt van het evaluatieformulier nevenbevindingen </w:t>
      </w:r>
      <w:r>
        <w:rPr>
          <w:color w:val="000000"/>
          <w:highlight w:val="yellow"/>
        </w:rPr>
        <w:t>[lokale</w:t>
      </w:r>
      <w:r>
        <w:rPr>
          <w:color w:val="000000"/>
          <w:spacing w:val="-2"/>
          <w:highlight w:val="yellow"/>
        </w:rPr>
        <w:t> </w:t>
      </w:r>
      <w:r>
        <w:rPr>
          <w:color w:val="000000"/>
          <w:highlight w:val="yellow"/>
        </w:rPr>
        <w:t>verwijzing</w:t>
      </w:r>
      <w:r>
        <w:rPr>
          <w:color w:val="000000"/>
        </w:rPr>
        <w:t>].</w:t>
      </w:r>
      <w:r>
        <w:rPr>
          <w:color w:val="000000"/>
          <w:spacing w:val="-2"/>
        </w:rPr>
        <w:t> </w:t>
      </w:r>
      <w:r>
        <w:rPr>
          <w:color w:val="000000"/>
        </w:rPr>
        <w:t>Voor</w:t>
      </w:r>
      <w:r>
        <w:rPr>
          <w:color w:val="000000"/>
          <w:spacing w:val="-2"/>
        </w:rPr>
        <w:t> </w:t>
      </w:r>
      <w:r>
        <w:rPr>
          <w:color w:val="000000"/>
        </w:rPr>
        <w:t>de</w:t>
      </w:r>
      <w:r>
        <w:rPr>
          <w:color w:val="000000"/>
          <w:spacing w:val="-2"/>
        </w:rPr>
        <w:t> </w:t>
      </w:r>
      <w:r>
        <w:rPr>
          <w:color w:val="000000"/>
        </w:rPr>
        <w:t>bespreking</w:t>
      </w:r>
      <w:r>
        <w:rPr>
          <w:color w:val="000000"/>
          <w:spacing w:val="-1"/>
        </w:rPr>
        <w:t> </w:t>
      </w:r>
      <w:r>
        <w:rPr>
          <w:color w:val="000000"/>
        </w:rPr>
        <w:t>van</w:t>
      </w:r>
      <w:r>
        <w:rPr>
          <w:color w:val="000000"/>
          <w:spacing w:val="-2"/>
        </w:rPr>
        <w:t> </w:t>
      </w:r>
      <w:r>
        <w:rPr>
          <w:color w:val="000000"/>
        </w:rPr>
        <w:t>een</w:t>
      </w:r>
      <w:r>
        <w:rPr>
          <w:color w:val="000000"/>
          <w:spacing w:val="-1"/>
        </w:rPr>
        <w:t> </w:t>
      </w:r>
      <w:r>
        <w:rPr>
          <w:color w:val="000000"/>
        </w:rPr>
        <w:t>nevenbevinding</w:t>
      </w:r>
      <w:r>
        <w:rPr>
          <w:color w:val="000000"/>
          <w:spacing w:val="-1"/>
        </w:rPr>
        <w:t> </w:t>
      </w:r>
      <w:r>
        <w:rPr>
          <w:color w:val="000000"/>
        </w:rPr>
        <w:t>in</w:t>
      </w:r>
      <w:r>
        <w:rPr>
          <w:color w:val="000000"/>
          <w:spacing w:val="-2"/>
        </w:rPr>
        <w:t> </w:t>
      </w:r>
      <w:r>
        <w:rPr>
          <w:color w:val="000000"/>
        </w:rPr>
        <w:t>de</w:t>
      </w:r>
      <w:r>
        <w:rPr>
          <w:color w:val="000000"/>
          <w:spacing w:val="-1"/>
        </w:rPr>
        <w:t> </w:t>
      </w:r>
      <w:r>
        <w:rPr>
          <w:color w:val="000000"/>
        </w:rPr>
        <w:t>commissie,</w:t>
      </w:r>
      <w:r>
        <w:rPr>
          <w:color w:val="000000"/>
          <w:spacing w:val="-2"/>
        </w:rPr>
        <w:t> </w:t>
      </w:r>
      <w:r>
        <w:rPr>
          <w:color w:val="000000"/>
        </w:rPr>
        <w:t>moet</w:t>
      </w:r>
      <w:r>
        <w:rPr>
          <w:color w:val="000000"/>
          <w:spacing w:val="-1"/>
        </w:rPr>
        <w:t> </w:t>
      </w:r>
      <w:r>
        <w:rPr>
          <w:color w:val="000000"/>
        </w:rPr>
        <w:t>het</w:t>
      </w:r>
      <w:r>
        <w:rPr>
          <w:color w:val="000000"/>
          <w:spacing w:val="-1"/>
        </w:rPr>
        <w:t> </w:t>
      </w:r>
      <w:r>
        <w:rPr>
          <w:color w:val="000000"/>
        </w:rPr>
        <w:t>formulier zo volledig mogelijk zijn ingevuld. Indien er nog informatie ontbreekt kan door de commissie meer informatie ingewonnen worden bij andere laboratoriumspecialisten (in huis, of elders, afhankelijk van de aanwezige expertise).</w:t>
      </w:r>
    </w:p>
    <w:p>
      <w:pPr>
        <w:pStyle w:val="BodyText"/>
      </w:pPr>
    </w:p>
    <w:p>
      <w:pPr>
        <w:pStyle w:val="BodyText"/>
        <w:ind w:left="158" w:right="262"/>
      </w:pPr>
      <w:r>
        <w:rPr/>
        <w:t>Het</w:t>
      </w:r>
      <w:r>
        <w:rPr>
          <w:spacing w:val="-3"/>
        </w:rPr>
        <w:t> </w:t>
      </w:r>
      <w:r>
        <w:rPr/>
        <w:t>advies</w:t>
      </w:r>
      <w:r>
        <w:rPr>
          <w:spacing w:val="-4"/>
        </w:rPr>
        <w:t> </w:t>
      </w:r>
      <w:r>
        <w:rPr/>
        <w:t>en</w:t>
      </w:r>
      <w:r>
        <w:rPr>
          <w:spacing w:val="-3"/>
        </w:rPr>
        <w:t> </w:t>
      </w:r>
      <w:r>
        <w:rPr/>
        <w:t>het</w:t>
      </w:r>
      <w:r>
        <w:rPr>
          <w:spacing w:val="-3"/>
        </w:rPr>
        <w:t> </w:t>
      </w:r>
      <w:r>
        <w:rPr/>
        <w:t>ingevulde</w:t>
      </w:r>
      <w:r>
        <w:rPr>
          <w:spacing w:val="-3"/>
        </w:rPr>
        <w:t> </w:t>
      </w:r>
      <w:r>
        <w:rPr/>
        <w:t>formulier</w:t>
      </w:r>
      <w:r>
        <w:rPr>
          <w:spacing w:val="-4"/>
        </w:rPr>
        <w:t> </w:t>
      </w:r>
      <w:r>
        <w:rPr/>
        <w:t>wordt</w:t>
      </w:r>
      <w:r>
        <w:rPr>
          <w:spacing w:val="-3"/>
        </w:rPr>
        <w:t> </w:t>
      </w:r>
      <w:r>
        <w:rPr/>
        <w:t>opgeslagen</w:t>
      </w:r>
      <w:r>
        <w:rPr>
          <w:spacing w:val="-3"/>
        </w:rPr>
        <w:t> </w:t>
      </w:r>
      <w:r>
        <w:rPr/>
        <w:t>in</w:t>
      </w:r>
      <w:r>
        <w:rPr>
          <w:spacing w:val="-3"/>
        </w:rPr>
        <w:t> </w:t>
      </w:r>
      <w:r>
        <w:rPr/>
        <w:t>het</w:t>
      </w:r>
      <w:r>
        <w:rPr>
          <w:spacing w:val="-3"/>
        </w:rPr>
        <w:t> </w:t>
      </w:r>
      <w:r>
        <w:rPr/>
        <w:t>labdossier,</w:t>
      </w:r>
      <w:r>
        <w:rPr>
          <w:spacing w:val="-3"/>
        </w:rPr>
        <w:t> </w:t>
      </w:r>
      <w:r>
        <w:rPr/>
        <w:t>zodat</w:t>
      </w:r>
      <w:r>
        <w:rPr>
          <w:spacing w:val="-3"/>
        </w:rPr>
        <w:t> </w:t>
      </w:r>
      <w:r>
        <w:rPr/>
        <w:t>bij</w:t>
      </w:r>
      <w:r>
        <w:rPr>
          <w:spacing w:val="-4"/>
        </w:rPr>
        <w:t> </w:t>
      </w:r>
      <w:r>
        <w:rPr/>
        <w:t>eventuele</w:t>
      </w:r>
      <w:r>
        <w:rPr>
          <w:spacing w:val="-4"/>
        </w:rPr>
        <w:t> </w:t>
      </w:r>
      <w:r>
        <w:rPr/>
        <w:t>latere segregatie analyse terug te vinden is welke variant is gevonden. Ook als besloten is om de</w:t>
      </w:r>
    </w:p>
    <w:p>
      <w:pPr>
        <w:spacing w:after="0"/>
        <w:sectPr>
          <w:footerReference w:type="default" r:id="rId5"/>
          <w:type w:val="continuous"/>
          <w:pgSz w:w="11910" w:h="16840"/>
          <w:pgMar w:header="0" w:footer="1048" w:top="1820" w:bottom="1240" w:left="1260" w:right="1300"/>
          <w:pgNumType w:start="1"/>
        </w:sectPr>
      </w:pPr>
    </w:p>
    <w:p>
      <w:pPr>
        <w:pStyle w:val="BodyText"/>
        <w:spacing w:before="40"/>
        <w:ind w:left="158" w:right="262"/>
      </w:pPr>
      <w:r>
        <w:rPr/>
        <w:t>nevenbevinding</w:t>
      </w:r>
      <w:r>
        <w:rPr>
          <w:spacing w:val="-3"/>
        </w:rPr>
        <w:t> </w:t>
      </w:r>
      <w:r>
        <w:rPr/>
        <w:t>niet</w:t>
      </w:r>
      <w:r>
        <w:rPr>
          <w:spacing w:val="-3"/>
        </w:rPr>
        <w:t> </w:t>
      </w:r>
      <w:r>
        <w:rPr/>
        <w:t>te</w:t>
      </w:r>
      <w:r>
        <w:rPr>
          <w:spacing w:val="-4"/>
        </w:rPr>
        <w:t> </w:t>
      </w:r>
      <w:r>
        <w:rPr/>
        <w:t>melden</w:t>
      </w:r>
      <w:r>
        <w:rPr>
          <w:spacing w:val="-4"/>
        </w:rPr>
        <w:t> </w:t>
      </w:r>
      <w:r>
        <w:rPr/>
        <w:t>aan</w:t>
      </w:r>
      <w:r>
        <w:rPr>
          <w:spacing w:val="-3"/>
        </w:rPr>
        <w:t> </w:t>
      </w:r>
      <w:r>
        <w:rPr/>
        <w:t>de</w:t>
      </w:r>
      <w:r>
        <w:rPr>
          <w:spacing w:val="-3"/>
        </w:rPr>
        <w:t> </w:t>
      </w:r>
      <w:r>
        <w:rPr/>
        <w:t>patiënt,</w:t>
      </w:r>
      <w:r>
        <w:rPr>
          <w:spacing w:val="-4"/>
        </w:rPr>
        <w:t> </w:t>
      </w:r>
      <w:r>
        <w:rPr/>
        <w:t>wordt</w:t>
      </w:r>
      <w:r>
        <w:rPr>
          <w:spacing w:val="-3"/>
        </w:rPr>
        <w:t> </w:t>
      </w:r>
      <w:r>
        <w:rPr/>
        <w:t>het</w:t>
      </w:r>
      <w:r>
        <w:rPr>
          <w:spacing w:val="-3"/>
        </w:rPr>
        <w:t> </w:t>
      </w:r>
      <w:r>
        <w:rPr/>
        <w:t>formulier</w:t>
      </w:r>
      <w:r>
        <w:rPr>
          <w:spacing w:val="-3"/>
        </w:rPr>
        <w:t> </w:t>
      </w:r>
      <w:r>
        <w:rPr/>
        <w:t>in</w:t>
      </w:r>
      <w:r>
        <w:rPr>
          <w:spacing w:val="-4"/>
        </w:rPr>
        <w:t> </w:t>
      </w:r>
      <w:r>
        <w:rPr/>
        <w:t>het</w:t>
      </w:r>
      <w:r>
        <w:rPr>
          <w:spacing w:val="-3"/>
        </w:rPr>
        <w:t> </w:t>
      </w:r>
      <w:r>
        <w:rPr/>
        <w:t>labdossier</w:t>
      </w:r>
      <w:r>
        <w:rPr>
          <w:spacing w:val="-3"/>
        </w:rPr>
        <w:t> </w:t>
      </w:r>
      <w:r>
        <w:rPr/>
        <w:t>opgeslagen. </w:t>
      </w:r>
      <w:r>
        <w:rPr>
          <w:color w:val="000000"/>
          <w:highlight w:val="yellow"/>
        </w:rPr>
        <w:t>[lokaal invullen hoe/waar dit opgeslagen moet worden</w:t>
      </w:r>
      <w:r>
        <w:rPr>
          <w:color w:val="000000"/>
        </w:rPr>
        <w:t>].</w:t>
      </w:r>
    </w:p>
    <w:p>
      <w:pPr>
        <w:pStyle w:val="BodyText"/>
        <w:spacing w:before="191"/>
      </w:pPr>
    </w:p>
    <w:p>
      <w:pPr>
        <w:pStyle w:val="Heading1"/>
        <w:rPr>
          <w:i/>
        </w:rPr>
      </w:pPr>
      <w:r>
        <w:rPr>
          <w:i/>
        </w:rPr>
        <w:t>Melden</w:t>
      </w:r>
      <w:r>
        <w:rPr>
          <w:i/>
          <w:spacing w:val="-4"/>
        </w:rPr>
        <w:t> </w:t>
      </w:r>
      <w:r>
        <w:rPr>
          <w:i/>
        </w:rPr>
        <w:t>van</w:t>
      </w:r>
      <w:r>
        <w:rPr>
          <w:i/>
          <w:spacing w:val="-3"/>
        </w:rPr>
        <w:t> </w:t>
      </w:r>
      <w:r>
        <w:rPr>
          <w:i/>
        </w:rPr>
        <w:t>een</w:t>
      </w:r>
      <w:r>
        <w:rPr>
          <w:i/>
          <w:spacing w:val="-2"/>
        </w:rPr>
        <w:t> nevenbevinding</w:t>
      </w:r>
    </w:p>
    <w:p>
      <w:pPr>
        <w:pStyle w:val="BodyText"/>
        <w:ind w:left="158" w:right="176"/>
      </w:pPr>
      <w:r>
        <w:rPr/>
        <w:t>Indien de aanvrager heeft gekozen voor het melden van de nevenbevinding in de uitslagbrief, is het de verantwoordelijkheid van [</w:t>
      </w:r>
      <w:r>
        <w:rPr>
          <w:color w:val="000000"/>
          <w:highlight w:val="yellow"/>
        </w:rPr>
        <w:t>lokaal invullen</w:t>
      </w:r>
      <w:r>
        <w:rPr>
          <w:color w:val="000000"/>
        </w:rPr>
        <w:t>] om het advies van de commissie over te nemen in de uitslagbrief.</w:t>
      </w:r>
      <w:r>
        <w:rPr>
          <w:color w:val="000000"/>
          <w:spacing w:val="-3"/>
        </w:rPr>
        <w:t> </w:t>
      </w:r>
      <w:r>
        <w:rPr>
          <w:color w:val="000000"/>
        </w:rPr>
        <w:t>Indien</w:t>
      </w:r>
      <w:r>
        <w:rPr>
          <w:color w:val="000000"/>
          <w:spacing w:val="-4"/>
        </w:rPr>
        <w:t> </w:t>
      </w:r>
      <w:r>
        <w:rPr>
          <w:color w:val="000000"/>
        </w:rPr>
        <w:t>de</w:t>
      </w:r>
      <w:r>
        <w:rPr>
          <w:color w:val="000000"/>
          <w:spacing w:val="-4"/>
        </w:rPr>
        <w:t> </w:t>
      </w:r>
      <w:r>
        <w:rPr>
          <w:color w:val="000000"/>
        </w:rPr>
        <w:t>aanvrager</w:t>
      </w:r>
      <w:r>
        <w:rPr>
          <w:color w:val="000000"/>
          <w:spacing w:val="-3"/>
        </w:rPr>
        <w:t> </w:t>
      </w:r>
      <w:r>
        <w:rPr>
          <w:color w:val="000000"/>
        </w:rPr>
        <w:t>heeft</w:t>
      </w:r>
      <w:r>
        <w:rPr>
          <w:color w:val="000000"/>
          <w:spacing w:val="-3"/>
        </w:rPr>
        <w:t> </w:t>
      </w:r>
      <w:r>
        <w:rPr>
          <w:color w:val="000000"/>
        </w:rPr>
        <w:t>gekozen</w:t>
      </w:r>
      <w:r>
        <w:rPr>
          <w:color w:val="000000"/>
          <w:spacing w:val="-3"/>
        </w:rPr>
        <w:t> </w:t>
      </w:r>
      <w:r>
        <w:rPr>
          <w:color w:val="000000"/>
        </w:rPr>
        <w:t>voor</w:t>
      </w:r>
      <w:r>
        <w:rPr>
          <w:color w:val="000000"/>
          <w:spacing w:val="-3"/>
        </w:rPr>
        <w:t> </w:t>
      </w:r>
      <w:r>
        <w:rPr>
          <w:color w:val="000000"/>
        </w:rPr>
        <w:t>een</w:t>
      </w:r>
      <w:r>
        <w:rPr>
          <w:color w:val="000000"/>
          <w:spacing w:val="-3"/>
        </w:rPr>
        <w:t> </w:t>
      </w:r>
      <w:r>
        <w:rPr>
          <w:color w:val="000000"/>
        </w:rPr>
        <w:t>aparte</w:t>
      </w:r>
      <w:r>
        <w:rPr>
          <w:color w:val="000000"/>
          <w:spacing w:val="-4"/>
        </w:rPr>
        <w:t> </w:t>
      </w:r>
      <w:r>
        <w:rPr>
          <w:color w:val="000000"/>
        </w:rPr>
        <w:t>brief</w:t>
      </w:r>
      <w:r>
        <w:rPr>
          <w:color w:val="000000"/>
          <w:spacing w:val="-3"/>
        </w:rPr>
        <w:t> </w:t>
      </w:r>
      <w:r>
        <w:rPr>
          <w:color w:val="000000"/>
        </w:rPr>
        <w:t>met</w:t>
      </w:r>
      <w:r>
        <w:rPr>
          <w:color w:val="000000"/>
          <w:spacing w:val="-3"/>
        </w:rPr>
        <w:t> </w:t>
      </w:r>
      <w:r>
        <w:rPr>
          <w:color w:val="000000"/>
        </w:rPr>
        <w:t>de</w:t>
      </w:r>
      <w:r>
        <w:rPr>
          <w:color w:val="000000"/>
          <w:spacing w:val="-3"/>
        </w:rPr>
        <w:t> </w:t>
      </w:r>
      <w:r>
        <w:rPr>
          <w:color w:val="000000"/>
        </w:rPr>
        <w:t>nevenbevinding,</w:t>
      </w:r>
      <w:r>
        <w:rPr>
          <w:color w:val="000000"/>
          <w:spacing w:val="-3"/>
        </w:rPr>
        <w:t> </w:t>
      </w:r>
      <w:r>
        <w:rPr>
          <w:color w:val="000000"/>
        </w:rPr>
        <w:t>wordt deze brief geschreven door [</w:t>
      </w:r>
      <w:r>
        <w:rPr>
          <w:color w:val="000000"/>
          <w:highlight w:val="yellow"/>
        </w:rPr>
        <w:t>lokaal invullen</w:t>
      </w:r>
      <w:r>
        <w:rPr>
          <w:color w:val="000000"/>
        </w:rPr>
        <w:t>].</w:t>
      </w:r>
    </w:p>
    <w:p>
      <w:pPr>
        <w:pStyle w:val="BodyText"/>
      </w:pPr>
    </w:p>
    <w:p>
      <w:pPr>
        <w:spacing w:before="0"/>
        <w:ind w:left="158" w:right="892" w:firstLine="0"/>
        <w:jc w:val="left"/>
        <w:rPr>
          <w:sz w:val="22"/>
        </w:rPr>
      </w:pPr>
      <w:r>
        <w:rPr>
          <w:sz w:val="22"/>
        </w:rPr>
        <w:t>Het</w:t>
      </w:r>
      <w:r>
        <w:rPr>
          <w:spacing w:val="-2"/>
          <w:sz w:val="22"/>
        </w:rPr>
        <w:t> </w:t>
      </w:r>
      <w:r>
        <w:rPr>
          <w:sz w:val="22"/>
        </w:rPr>
        <w:t>is</w:t>
      </w:r>
      <w:r>
        <w:rPr>
          <w:spacing w:val="-3"/>
          <w:sz w:val="22"/>
        </w:rPr>
        <w:t> </w:t>
      </w:r>
      <w:r>
        <w:rPr>
          <w:sz w:val="22"/>
        </w:rPr>
        <w:t>de</w:t>
      </w:r>
      <w:r>
        <w:rPr>
          <w:spacing w:val="-3"/>
          <w:sz w:val="22"/>
        </w:rPr>
        <w:t> </w:t>
      </w:r>
      <w:r>
        <w:rPr>
          <w:sz w:val="22"/>
        </w:rPr>
        <w:t>verantwoordelijkheid</w:t>
      </w:r>
      <w:r>
        <w:rPr>
          <w:spacing w:val="-3"/>
          <w:sz w:val="22"/>
        </w:rPr>
        <w:t> </w:t>
      </w:r>
      <w:r>
        <w:rPr>
          <w:sz w:val="22"/>
        </w:rPr>
        <w:t>van</w:t>
      </w:r>
      <w:r>
        <w:rPr>
          <w:spacing w:val="-2"/>
          <w:sz w:val="22"/>
        </w:rPr>
        <w:t> </w:t>
      </w:r>
      <w:r>
        <w:rPr>
          <w:sz w:val="22"/>
        </w:rPr>
        <w:t>de</w:t>
      </w:r>
      <w:r>
        <w:rPr>
          <w:spacing w:val="-2"/>
          <w:sz w:val="22"/>
        </w:rPr>
        <w:t> </w:t>
      </w:r>
      <w:r>
        <w:rPr>
          <w:sz w:val="22"/>
        </w:rPr>
        <w:t>aanvrager</w:t>
      </w:r>
      <w:r>
        <w:rPr>
          <w:spacing w:val="-3"/>
          <w:sz w:val="22"/>
        </w:rPr>
        <w:t> </w:t>
      </w:r>
      <w:r>
        <w:rPr>
          <w:sz w:val="22"/>
        </w:rPr>
        <w:t>om</w:t>
      </w:r>
      <w:r>
        <w:rPr>
          <w:spacing w:val="-2"/>
          <w:sz w:val="22"/>
        </w:rPr>
        <w:t> </w:t>
      </w:r>
      <w:r>
        <w:rPr>
          <w:sz w:val="22"/>
        </w:rPr>
        <w:t>te</w:t>
      </w:r>
      <w:r>
        <w:rPr>
          <w:spacing w:val="-3"/>
          <w:sz w:val="22"/>
        </w:rPr>
        <w:t> </w:t>
      </w:r>
      <w:r>
        <w:rPr>
          <w:sz w:val="22"/>
        </w:rPr>
        <w:t>beoordelen</w:t>
      </w:r>
      <w:r>
        <w:rPr>
          <w:spacing w:val="-2"/>
          <w:sz w:val="22"/>
        </w:rPr>
        <w:t> </w:t>
      </w:r>
      <w:r>
        <w:rPr>
          <w:sz w:val="22"/>
        </w:rPr>
        <w:t>welke</w:t>
      </w:r>
      <w:r>
        <w:rPr>
          <w:spacing w:val="-2"/>
          <w:sz w:val="22"/>
        </w:rPr>
        <w:t> </w:t>
      </w:r>
      <w:r>
        <w:rPr>
          <w:sz w:val="22"/>
        </w:rPr>
        <w:t>gegevens</w:t>
      </w:r>
      <w:r>
        <w:rPr>
          <w:spacing w:val="-3"/>
          <w:sz w:val="22"/>
        </w:rPr>
        <w:t> </w:t>
      </w:r>
      <w:r>
        <w:rPr>
          <w:sz w:val="22"/>
        </w:rPr>
        <w:t>hij</w:t>
      </w:r>
      <w:r>
        <w:rPr>
          <w:spacing w:val="-2"/>
          <w:sz w:val="22"/>
        </w:rPr>
        <w:t> </w:t>
      </w:r>
      <w:r>
        <w:rPr>
          <w:sz w:val="22"/>
        </w:rPr>
        <w:t>in</w:t>
      </w:r>
      <w:r>
        <w:rPr>
          <w:spacing w:val="-2"/>
          <w:sz w:val="22"/>
        </w:rPr>
        <w:t> </w:t>
      </w:r>
      <w:r>
        <w:rPr>
          <w:sz w:val="22"/>
        </w:rPr>
        <w:t>het medisch dossier opneemt (KNMG-richtlijn Omgaan met medische gegevens, hoofdstuk 2; </w:t>
      </w:r>
      <w:hyperlink r:id="rId9">
        <w:r>
          <w:rPr>
            <w:color w:val="0000FF"/>
            <w:spacing w:val="-2"/>
            <w:sz w:val="21"/>
            <w:u w:val="single" w:color="0000FF"/>
          </w:rPr>
          <w:t>https://www.knmg.nl/Richtlijn-omgaan-met-medische-gegevens.htm</w:t>
        </w:r>
      </w:hyperlink>
      <w:r>
        <w:rPr>
          <w:spacing w:val="-2"/>
          <w:sz w:val="22"/>
          <w:u w:val="none"/>
        </w:rPr>
        <w:t>).</w:t>
      </w:r>
    </w:p>
    <w:sectPr>
      <w:pgSz w:w="11910" w:h="16840"/>
      <w:pgMar w:header="0" w:footer="1048" w:top="1360" w:bottom="1260" w:left="126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41248">
              <wp:simplePos x="0" y="0"/>
              <wp:positionH relativeFrom="page">
                <wp:posOffset>3492093</wp:posOffset>
              </wp:positionH>
              <wp:positionV relativeFrom="page">
                <wp:posOffset>9876722</wp:posOffset>
              </wp:positionV>
              <wp:extent cx="551180"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51180" cy="196215"/>
                      </a:xfrm>
                      <a:prstGeom prst="rect">
                        <a:avLst/>
                      </a:prstGeom>
                    </wps:spPr>
                    <wps:txbx>
                      <w:txbxContent>
                        <w:p>
                          <w:pPr>
                            <w:spacing w:before="12"/>
                            <w:ind w:left="60" w:right="0" w:firstLine="0"/>
                            <w:jc w:val="left"/>
                            <w:rPr>
                              <w:rFonts w:ascii="Arial"/>
                              <w:b/>
                              <w:sz w:val="24"/>
                            </w:rPr>
                          </w:pPr>
                          <w:r>
                            <w:rPr>
                              <w:rFonts w:ascii="Arial"/>
                              <w:b/>
                              <w:sz w:val="24"/>
                            </w:rPr>
                            <w:fldChar w:fldCharType="begin"/>
                          </w:r>
                          <w:r>
                            <w:rPr>
                              <w:rFonts w:ascii="Arial"/>
                              <w:b/>
                              <w:sz w:val="24"/>
                            </w:rPr>
                            <w:instrText> PAGE </w:instrText>
                          </w:r>
                          <w:r>
                            <w:rPr>
                              <w:rFonts w:ascii="Arial"/>
                              <w:b/>
                              <w:sz w:val="24"/>
                            </w:rPr>
                            <w:fldChar w:fldCharType="separate"/>
                          </w:r>
                          <w:r>
                            <w:rPr>
                              <w:rFonts w:ascii="Arial"/>
                              <w:b/>
                              <w:sz w:val="24"/>
                            </w:rPr>
                            <w:t>1</w:t>
                          </w:r>
                          <w:r>
                            <w:rPr>
                              <w:rFonts w:ascii="Arial"/>
                              <w:b/>
                              <w:sz w:val="24"/>
                            </w:rPr>
                            <w:fldChar w:fldCharType="end"/>
                          </w:r>
                          <w:r>
                            <w:rPr>
                              <w:rFonts w:ascii="Arial"/>
                              <w:b/>
                              <w:spacing w:val="-1"/>
                              <w:sz w:val="24"/>
                            </w:rPr>
                            <w:t> </w:t>
                          </w:r>
                          <w:r>
                            <w:rPr>
                              <w:rFonts w:ascii="Arial"/>
                              <w:sz w:val="24"/>
                            </w:rPr>
                            <w:t>van</w:t>
                          </w:r>
                          <w:r>
                            <w:rPr>
                              <w:rFonts w:ascii="Arial"/>
                              <w:spacing w:val="-1"/>
                              <w:sz w:val="24"/>
                            </w:rPr>
                            <w:t> </w:t>
                          </w:r>
                          <w:r>
                            <w:rPr>
                              <w:rFonts w:ascii="Arial"/>
                              <w:b/>
                              <w:spacing w:val="-10"/>
                              <w:sz w:val="24"/>
                            </w:rPr>
                            <w:fldChar w:fldCharType="begin"/>
                          </w:r>
                          <w:r>
                            <w:rPr>
                              <w:rFonts w:ascii="Arial"/>
                              <w:b/>
                              <w:spacing w:val="-10"/>
                              <w:sz w:val="24"/>
                            </w:rPr>
                            <w:instrText> NUMPAGES </w:instrText>
                          </w:r>
                          <w:r>
                            <w:rPr>
                              <w:rFonts w:ascii="Arial"/>
                              <w:b/>
                              <w:spacing w:val="-10"/>
                              <w:sz w:val="24"/>
                            </w:rPr>
                            <w:fldChar w:fldCharType="separate"/>
                          </w:r>
                          <w:r>
                            <w:rPr>
                              <w:rFonts w:ascii="Arial"/>
                              <w:b/>
                              <w:spacing w:val="-10"/>
                              <w:sz w:val="24"/>
                            </w:rPr>
                            <w:t>2</w:t>
                          </w:r>
                          <w:r>
                            <w:rPr>
                              <w:rFonts w:ascii="Arial"/>
                              <w:b/>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4.967987pt;margin-top:777.694702pt;width:43.4pt;height:15.45pt;mso-position-horizontal-relative:page;mso-position-vertical-relative:page;z-index:-15775232" type="#_x0000_t202" id="docshape1" filled="false" stroked="false">
              <v:textbox inset="0,0,0,0">
                <w:txbxContent>
                  <w:p>
                    <w:pPr>
                      <w:spacing w:before="12"/>
                      <w:ind w:left="60" w:right="0" w:firstLine="0"/>
                      <w:jc w:val="left"/>
                      <w:rPr>
                        <w:rFonts w:ascii="Arial"/>
                        <w:b/>
                        <w:sz w:val="24"/>
                      </w:rPr>
                    </w:pPr>
                    <w:r>
                      <w:rPr>
                        <w:rFonts w:ascii="Arial"/>
                        <w:b/>
                        <w:sz w:val="24"/>
                      </w:rPr>
                      <w:fldChar w:fldCharType="begin"/>
                    </w:r>
                    <w:r>
                      <w:rPr>
                        <w:rFonts w:ascii="Arial"/>
                        <w:b/>
                        <w:sz w:val="24"/>
                      </w:rPr>
                      <w:instrText> PAGE </w:instrText>
                    </w:r>
                    <w:r>
                      <w:rPr>
                        <w:rFonts w:ascii="Arial"/>
                        <w:b/>
                        <w:sz w:val="24"/>
                      </w:rPr>
                      <w:fldChar w:fldCharType="separate"/>
                    </w:r>
                    <w:r>
                      <w:rPr>
                        <w:rFonts w:ascii="Arial"/>
                        <w:b/>
                        <w:sz w:val="24"/>
                      </w:rPr>
                      <w:t>1</w:t>
                    </w:r>
                    <w:r>
                      <w:rPr>
                        <w:rFonts w:ascii="Arial"/>
                        <w:b/>
                        <w:sz w:val="24"/>
                      </w:rPr>
                      <w:fldChar w:fldCharType="end"/>
                    </w:r>
                    <w:r>
                      <w:rPr>
                        <w:rFonts w:ascii="Arial"/>
                        <w:b/>
                        <w:spacing w:val="-1"/>
                        <w:sz w:val="24"/>
                      </w:rPr>
                      <w:t> </w:t>
                    </w:r>
                    <w:r>
                      <w:rPr>
                        <w:rFonts w:ascii="Arial"/>
                        <w:sz w:val="24"/>
                      </w:rPr>
                      <w:t>van</w:t>
                    </w:r>
                    <w:r>
                      <w:rPr>
                        <w:rFonts w:ascii="Arial"/>
                        <w:spacing w:val="-1"/>
                        <w:sz w:val="24"/>
                      </w:rPr>
                      <w:t> </w:t>
                    </w:r>
                    <w:r>
                      <w:rPr>
                        <w:rFonts w:ascii="Arial"/>
                        <w:b/>
                        <w:spacing w:val="-10"/>
                        <w:sz w:val="24"/>
                      </w:rPr>
                      <w:fldChar w:fldCharType="begin"/>
                    </w:r>
                    <w:r>
                      <w:rPr>
                        <w:rFonts w:ascii="Arial"/>
                        <w:b/>
                        <w:spacing w:val="-10"/>
                        <w:sz w:val="24"/>
                      </w:rPr>
                      <w:instrText> NUMPAGES </w:instrText>
                    </w:r>
                    <w:r>
                      <w:rPr>
                        <w:rFonts w:ascii="Arial"/>
                        <w:b/>
                        <w:spacing w:val="-10"/>
                        <w:sz w:val="24"/>
                      </w:rPr>
                      <w:fldChar w:fldCharType="separate"/>
                    </w:r>
                    <w:r>
                      <w:rPr>
                        <w:rFonts w:ascii="Arial"/>
                        <w:b/>
                        <w:spacing w:val="-10"/>
                        <w:sz w:val="24"/>
                      </w:rPr>
                      <w:t>2</w:t>
                    </w:r>
                    <w:r>
                      <w:rPr>
                        <w:rFonts w:ascii="Arial"/>
                        <w:b/>
                        <w:spacing w:val="-10"/>
                        <w:sz w:val="2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nl-NL" w:eastAsia="en-US" w:bidi="ar-SA"/>
    </w:rPr>
  </w:style>
  <w:style w:styleId="BodyText" w:type="paragraph">
    <w:name w:val="Body Text"/>
    <w:basedOn w:val="Normal"/>
    <w:uiPriority w:val="1"/>
    <w:qFormat/>
    <w:pPr/>
    <w:rPr>
      <w:rFonts w:ascii="Calibri" w:hAnsi="Calibri" w:eastAsia="Calibri" w:cs="Calibri"/>
      <w:sz w:val="22"/>
      <w:szCs w:val="22"/>
      <w:lang w:val="nl-NL" w:eastAsia="en-US" w:bidi="ar-SA"/>
    </w:rPr>
  </w:style>
  <w:style w:styleId="Heading1" w:type="paragraph">
    <w:name w:val="Heading 1"/>
    <w:basedOn w:val="Normal"/>
    <w:uiPriority w:val="1"/>
    <w:qFormat/>
    <w:pPr>
      <w:ind w:left="158"/>
      <w:outlineLvl w:val="1"/>
    </w:pPr>
    <w:rPr>
      <w:rFonts w:ascii="Calibri" w:hAnsi="Calibri" w:eastAsia="Calibri" w:cs="Calibri"/>
      <w:b/>
      <w:bCs/>
      <w:i/>
      <w:iCs/>
      <w:sz w:val="22"/>
      <w:szCs w:val="22"/>
      <w:lang w:val="nl-NL" w:eastAsia="en-US" w:bidi="ar-SA"/>
    </w:rPr>
  </w:style>
  <w:style w:styleId="Title" w:type="paragraph">
    <w:name w:val="Title"/>
    <w:basedOn w:val="Normal"/>
    <w:uiPriority w:val="1"/>
    <w:qFormat/>
    <w:pPr>
      <w:spacing w:before="182"/>
      <w:ind w:left="158" w:right="262"/>
    </w:pPr>
    <w:rPr>
      <w:rFonts w:ascii="Calibri" w:hAnsi="Calibri" w:eastAsia="Calibri" w:cs="Calibri"/>
      <w:b/>
      <w:bCs/>
      <w:sz w:val="22"/>
      <w:szCs w:val="22"/>
      <w:lang w:val="nl-NL" w:eastAsia="en-US" w:bidi="ar-SA"/>
    </w:rPr>
  </w:style>
  <w:style w:styleId="ListParagraph" w:type="paragraph">
    <w:name w:val="List Paragraph"/>
    <w:basedOn w:val="Normal"/>
    <w:uiPriority w:val="1"/>
    <w:qFormat/>
    <w:pPr/>
    <w:rPr>
      <w:lang w:val="nl-NL" w:eastAsia="en-US" w:bidi="ar-SA"/>
    </w:rPr>
  </w:style>
  <w:style w:styleId="TableParagraph" w:type="paragraph">
    <w:name w:val="Table Paragraph"/>
    <w:basedOn w:val="Normal"/>
    <w:uiPriority w:val="1"/>
    <w:qFormat/>
    <w:pPr>
      <w:ind w:left="183"/>
    </w:pPr>
    <w:rPr>
      <w:rFonts w:ascii="Calibri" w:hAnsi="Calibri" w:eastAsia="Calibri" w:cs="Calibri"/>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radboudumc.zenya.work/management/hyperlinkloader.aspx?hyperlinkid=6919a20f-b05c-4c67-b6c0-dc72abe2a1f8" TargetMode="External"/><Relationship Id="rId8" Type="http://schemas.openxmlformats.org/officeDocument/2006/relationships/hyperlink" Target="https://radboudumc.zenya.work/management/hyperlinkloader.aspx?hyperlinkid=733d6c32-f615-4150-9c13-d0646ee28155" TargetMode="External"/><Relationship Id="rId9" Type="http://schemas.openxmlformats.org/officeDocument/2006/relationships/hyperlink" Target="https://radboudumc.zenya.work/management/hyperlinkloader.aspx?hyperlinkid=f2871e9c-69c2-40e1-9533-9c19805aea5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Medewerker</dc:creator>
  <dc:title>Registratiecommissie</dc:title>
  <dcterms:created xsi:type="dcterms:W3CDTF">2025-03-31T07:37:51Z</dcterms:created>
  <dcterms:modified xsi:type="dcterms:W3CDTF">2025-03-31T07:37:51Z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Microsoft Office Word</vt:lpwstr>
  </property>
  <property fmtid="{D5CDD505-2E9C-101B-9397-08002B2CF9AE}" pid="4" name="LastSaved">
    <vt:filetime>2025-03-31T00:00:00Z</vt:filetime>
  </property>
  <property fmtid="{D5CDD505-2E9C-101B-9397-08002B2CF9AE}" pid="5" name="Producer">
    <vt:lpwstr>Aspose.Words for .NET 25.1.0</vt:lpwstr>
  </property>
</Properties>
</file>